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57" w:type="dxa"/>
          <w:right w:w="57" w:type="dxa"/>
        </w:tblCellMar>
        <w:tblLook w:val="00A0" w:firstRow="1" w:lastRow="0" w:firstColumn="1" w:lastColumn="0" w:noHBand="0" w:noVBand="0"/>
      </w:tblPr>
      <w:tblGrid>
        <w:gridCol w:w="10071"/>
        <w:gridCol w:w="4501"/>
      </w:tblGrid>
      <w:tr w:rsidR="0069188A" w:rsidRPr="00EA6EFB" w:rsidTr="00D2297E">
        <w:trPr>
          <w:trHeight w:hRule="exact" w:val="284"/>
        </w:trPr>
        <w:tc>
          <w:tcPr>
            <w:tcW w:w="14572" w:type="dxa"/>
            <w:gridSpan w:val="2"/>
            <w:tcBorders>
              <w:bottom w:val="single" w:sz="4" w:space="0" w:color="auto"/>
            </w:tcBorders>
            <w:shd w:val="clear" w:color="auto" w:fill="F18213"/>
            <w:tcMar>
              <w:top w:w="57" w:type="dxa"/>
              <w:bottom w:w="57" w:type="dxa"/>
            </w:tcMar>
            <w:vAlign w:val="center"/>
          </w:tcPr>
          <w:p w:rsidR="0069188A" w:rsidRPr="00EA6EFB" w:rsidRDefault="00073FF8" w:rsidP="00D2297E">
            <w:pPr>
              <w:tabs>
                <w:tab w:val="right" w:pos="14356"/>
              </w:tabs>
              <w:spacing w:line="240" w:lineRule="auto"/>
              <w:rPr>
                <w:i/>
                <w:sz w:val="18"/>
                <w:szCs w:val="18"/>
              </w:rPr>
            </w:pPr>
            <w:r>
              <w:rPr>
                <w:b/>
                <w:color w:val="FFFFFF" w:themeColor="background1"/>
                <w:sz w:val="18"/>
                <w:szCs w:val="18"/>
              </w:rPr>
              <w:t xml:space="preserve">CWZ.01 </w:t>
            </w:r>
            <w:r w:rsidR="00DE24FA">
              <w:rPr>
                <w:b/>
                <w:color w:val="FFFFFF" w:themeColor="background1"/>
                <w:sz w:val="18"/>
                <w:szCs w:val="18"/>
              </w:rPr>
              <w:t>MEDEWERKER TUCHTZAKEN II</w:t>
            </w:r>
            <w:r w:rsidR="0069188A" w:rsidRPr="00EA6EFB">
              <w:rPr>
                <w:b/>
                <w:color w:val="FFFFFF" w:themeColor="background1"/>
                <w:sz w:val="18"/>
                <w:szCs w:val="18"/>
              </w:rPr>
              <w:tab/>
            </w:r>
            <w:r w:rsidR="0069188A" w:rsidRPr="00EA6EFB">
              <w:rPr>
                <w:color w:val="FFFFFF" w:themeColor="background1"/>
                <w:sz w:val="18"/>
                <w:szCs w:val="18"/>
              </w:rPr>
              <w:t xml:space="preserve">Functiefamilie: </w:t>
            </w:r>
            <w:r w:rsidR="0036184F">
              <w:rPr>
                <w:color w:val="FFFFFF" w:themeColor="background1"/>
                <w:sz w:val="18"/>
                <w:szCs w:val="18"/>
              </w:rPr>
              <w:t>competitie- en wedstrijdzaken</w:t>
            </w:r>
          </w:p>
        </w:tc>
      </w:tr>
      <w:tr w:rsidR="008A4466" w:rsidRPr="00EA6EFB" w:rsidTr="001603C7">
        <w:trPr>
          <w:trHeight w:val="1463"/>
        </w:trPr>
        <w:tc>
          <w:tcPr>
            <w:tcW w:w="14572" w:type="dxa"/>
            <w:gridSpan w:val="2"/>
            <w:tcBorders>
              <w:top w:val="single" w:sz="4" w:space="0" w:color="auto"/>
              <w:bottom w:val="single" w:sz="4" w:space="0" w:color="auto"/>
            </w:tcBorders>
            <w:tcMar>
              <w:top w:w="57" w:type="dxa"/>
              <w:bottom w:w="57" w:type="dxa"/>
            </w:tcMar>
          </w:tcPr>
          <w:p w:rsidR="002334D7" w:rsidRPr="002334D7" w:rsidRDefault="002334D7" w:rsidP="002334D7">
            <w:pPr>
              <w:spacing w:line="240" w:lineRule="auto"/>
              <w:rPr>
                <w:b/>
                <w:color w:val="F18213"/>
                <w:sz w:val="18"/>
                <w:szCs w:val="18"/>
              </w:rPr>
            </w:pPr>
            <w:r w:rsidRPr="002334D7">
              <w:rPr>
                <w:b/>
                <w:color w:val="F18213"/>
                <w:sz w:val="18"/>
                <w:szCs w:val="18"/>
              </w:rPr>
              <w:t>Context</w:t>
            </w:r>
          </w:p>
          <w:p w:rsidR="002334D7" w:rsidRPr="00D06CB4" w:rsidRDefault="002334D7" w:rsidP="002334D7">
            <w:pPr>
              <w:spacing w:line="240" w:lineRule="auto"/>
              <w:rPr>
                <w:rFonts w:cs="Arial"/>
                <w:color w:val="000000" w:themeColor="text1"/>
                <w:sz w:val="18"/>
                <w:szCs w:val="18"/>
              </w:rPr>
            </w:pPr>
            <w:r w:rsidRPr="00E4718C">
              <w:rPr>
                <w:rFonts w:cs="Arial"/>
                <w:sz w:val="18"/>
                <w:szCs w:val="18"/>
              </w:rPr>
              <w:t xml:space="preserve">De functie </w:t>
            </w:r>
            <w:r>
              <w:rPr>
                <w:rFonts w:cs="Arial"/>
                <w:color w:val="000000" w:themeColor="text1"/>
                <w:sz w:val="18"/>
                <w:szCs w:val="18"/>
              </w:rPr>
              <w:t xml:space="preserve">is </w:t>
            </w:r>
            <w:r>
              <w:rPr>
                <w:rFonts w:cs="Arial"/>
                <w:sz w:val="18"/>
                <w:szCs w:val="18"/>
              </w:rPr>
              <w:t>gepositioneerd</w:t>
            </w:r>
            <w:r w:rsidRPr="00D06CB4">
              <w:rPr>
                <w:rFonts w:cs="Arial"/>
                <w:color w:val="000000" w:themeColor="text1"/>
                <w:sz w:val="18"/>
                <w:szCs w:val="18"/>
              </w:rPr>
              <w:t xml:space="preserve"> </w:t>
            </w:r>
            <w:r w:rsidRPr="00E4718C">
              <w:rPr>
                <w:rFonts w:cs="Arial"/>
                <w:sz w:val="18"/>
                <w:szCs w:val="18"/>
              </w:rPr>
              <w:t>binnen een sportbond</w:t>
            </w:r>
            <w:r>
              <w:rPr>
                <w:rFonts w:cs="Arial"/>
                <w:sz w:val="18"/>
                <w:szCs w:val="18"/>
              </w:rPr>
              <w:t xml:space="preserve"> die zich inzet</w:t>
            </w:r>
            <w:r w:rsidRPr="00E4718C">
              <w:rPr>
                <w:rFonts w:cs="Arial"/>
                <w:sz w:val="18"/>
                <w:szCs w:val="18"/>
              </w:rPr>
              <w:t xml:space="preserve"> </w:t>
            </w:r>
            <w:r w:rsidRPr="00D06CB4">
              <w:rPr>
                <w:rFonts w:cs="Arial"/>
                <w:color w:val="000000" w:themeColor="text1"/>
                <w:sz w:val="18"/>
                <w:szCs w:val="18"/>
              </w:rPr>
              <w:t xml:space="preserve">voor </w:t>
            </w:r>
            <w:r>
              <w:rPr>
                <w:rFonts w:cs="Arial"/>
                <w:color w:val="000000" w:themeColor="text1"/>
                <w:sz w:val="18"/>
                <w:szCs w:val="18"/>
              </w:rPr>
              <w:t xml:space="preserve">(plm. 500) </w:t>
            </w:r>
            <w:r w:rsidRPr="00D06CB4">
              <w:rPr>
                <w:rFonts w:cs="Arial"/>
                <w:color w:val="000000" w:themeColor="text1"/>
                <w:sz w:val="18"/>
                <w:szCs w:val="18"/>
              </w:rPr>
              <w:t xml:space="preserve">aangesloten </w:t>
            </w:r>
            <w:r>
              <w:rPr>
                <w:rFonts w:cs="Arial"/>
                <w:color w:val="000000" w:themeColor="text1"/>
                <w:sz w:val="18"/>
                <w:szCs w:val="18"/>
              </w:rPr>
              <w:t xml:space="preserve">verenigingen </w:t>
            </w:r>
            <w:r w:rsidRPr="00D06CB4">
              <w:rPr>
                <w:rFonts w:cs="Arial"/>
                <w:color w:val="000000" w:themeColor="text1"/>
                <w:sz w:val="18"/>
                <w:szCs w:val="18"/>
              </w:rPr>
              <w:t xml:space="preserve">en (top)sporters </w:t>
            </w:r>
            <w:r>
              <w:rPr>
                <w:rFonts w:cs="Arial"/>
                <w:color w:val="000000" w:themeColor="text1"/>
                <w:sz w:val="18"/>
                <w:szCs w:val="18"/>
              </w:rPr>
              <w:t xml:space="preserve">(plm. 150.000) </w:t>
            </w:r>
            <w:r w:rsidRPr="00D06CB4">
              <w:rPr>
                <w:rFonts w:cs="Arial"/>
                <w:color w:val="000000" w:themeColor="text1"/>
                <w:sz w:val="18"/>
                <w:szCs w:val="18"/>
              </w:rPr>
              <w:t>op het gebied van accommodatie, opleiding, promotie v</w:t>
            </w:r>
            <w:r>
              <w:rPr>
                <w:rFonts w:cs="Arial"/>
                <w:color w:val="000000" w:themeColor="text1"/>
                <w:sz w:val="18"/>
                <w:szCs w:val="18"/>
              </w:rPr>
              <w:t>an de sport en</w:t>
            </w:r>
            <w:r w:rsidRPr="00D06CB4">
              <w:rPr>
                <w:rFonts w:cs="Arial"/>
                <w:color w:val="000000" w:themeColor="text1"/>
                <w:sz w:val="18"/>
                <w:szCs w:val="18"/>
              </w:rPr>
              <w:t xml:space="preserve"> sportontwikkeling (breedtesport)</w:t>
            </w:r>
            <w:r>
              <w:rPr>
                <w:rFonts w:cs="Arial"/>
                <w:color w:val="000000" w:themeColor="text1"/>
                <w:sz w:val="18"/>
                <w:szCs w:val="18"/>
              </w:rPr>
              <w:t xml:space="preserve">. Daarnaast </w:t>
            </w:r>
            <w:r w:rsidRPr="00D06CB4">
              <w:rPr>
                <w:rFonts w:cs="Arial"/>
                <w:color w:val="000000" w:themeColor="text1"/>
                <w:sz w:val="18"/>
                <w:szCs w:val="18"/>
              </w:rPr>
              <w:t xml:space="preserve">behartigt </w:t>
            </w:r>
            <w:r>
              <w:rPr>
                <w:rFonts w:cs="Arial"/>
                <w:color w:val="000000" w:themeColor="text1"/>
                <w:sz w:val="18"/>
                <w:szCs w:val="18"/>
              </w:rPr>
              <w:t xml:space="preserve">ze </w:t>
            </w:r>
            <w:r w:rsidRPr="00D06CB4">
              <w:rPr>
                <w:rFonts w:cs="Arial"/>
                <w:color w:val="000000" w:themeColor="text1"/>
                <w:sz w:val="18"/>
                <w:szCs w:val="18"/>
              </w:rPr>
              <w:t xml:space="preserve">de belangen van de topsport ten behoeve van uitzendingen naar EK’s, WK’s en Olympische spelen. </w:t>
            </w:r>
            <w:r>
              <w:rPr>
                <w:rFonts w:cs="Arial"/>
                <w:color w:val="000000" w:themeColor="text1"/>
                <w:sz w:val="18"/>
                <w:szCs w:val="18"/>
              </w:rPr>
              <w:t xml:space="preserve">Er zijn in totaal ongeveer 75 medewerkers werkzaam bij de bond. Daarnaast zijn veel </w:t>
            </w:r>
            <w:r w:rsidRPr="00D06CB4">
              <w:rPr>
                <w:rFonts w:cs="Arial"/>
                <w:color w:val="000000" w:themeColor="text1"/>
                <w:sz w:val="18"/>
                <w:szCs w:val="18"/>
              </w:rPr>
              <w:t>vrijwilligers actief in commissies en werkgroepen.</w:t>
            </w:r>
          </w:p>
          <w:p w:rsidR="008A4466" w:rsidRPr="00C56C84" w:rsidRDefault="00F04D5E" w:rsidP="002334D7">
            <w:pPr>
              <w:spacing w:line="240" w:lineRule="auto"/>
              <w:rPr>
                <w:color w:val="000000" w:themeColor="text1"/>
                <w:sz w:val="18"/>
                <w:szCs w:val="18"/>
              </w:rPr>
            </w:pPr>
            <w:r>
              <w:rPr>
                <w:color w:val="000000" w:themeColor="text1"/>
                <w:sz w:val="18"/>
                <w:szCs w:val="18"/>
              </w:rPr>
              <w:t>De afdeling competitie- en wedstrijdzaken</w:t>
            </w:r>
            <w:r w:rsidR="00C56C84">
              <w:rPr>
                <w:color w:val="000000" w:themeColor="text1"/>
                <w:sz w:val="18"/>
                <w:szCs w:val="18"/>
              </w:rPr>
              <w:t xml:space="preserve"> is verantwoordelijk voor een goed verloop van de competitie. De afdeling is verantwoordelijk voor de planning, organisatie en administratie van competities en kampioenschappen. Daarnaast draagt de afdeling zorg voor een effectieve organisatie en afhandeling van de tuchtzaken.</w:t>
            </w:r>
            <w:r w:rsidR="00DE24FA">
              <w:rPr>
                <w:color w:val="000000" w:themeColor="text1"/>
                <w:sz w:val="18"/>
                <w:szCs w:val="18"/>
              </w:rPr>
              <w:t xml:space="preserve"> </w:t>
            </w:r>
            <w:r w:rsidR="00C56C84">
              <w:rPr>
                <w:color w:val="000000" w:themeColor="text1"/>
                <w:sz w:val="18"/>
                <w:szCs w:val="18"/>
              </w:rPr>
              <w:t xml:space="preserve">De medewerker tuchtzaken </w:t>
            </w:r>
            <w:r w:rsidR="008A518E">
              <w:rPr>
                <w:color w:val="000000" w:themeColor="text1"/>
                <w:sz w:val="18"/>
                <w:szCs w:val="18"/>
              </w:rPr>
              <w:t xml:space="preserve">II </w:t>
            </w:r>
            <w:r w:rsidR="00C56C84">
              <w:rPr>
                <w:color w:val="000000" w:themeColor="text1"/>
                <w:sz w:val="18"/>
                <w:szCs w:val="18"/>
              </w:rPr>
              <w:t>draagt zorg voor een effectieve ondersteuning van de commissie belast met de beroeps- en tuchtzaken. De leden van de commissie zijn veelal vrijwilligers. De commissie kan desgewenst worden bijgestaan door een deskundige.</w:t>
            </w:r>
          </w:p>
        </w:tc>
      </w:tr>
      <w:tr w:rsidR="00BA56DD" w:rsidRPr="00EA6EFB" w:rsidTr="001603C7">
        <w:trPr>
          <w:trHeight w:val="426"/>
        </w:trPr>
        <w:tc>
          <w:tcPr>
            <w:tcW w:w="14572" w:type="dxa"/>
            <w:gridSpan w:val="2"/>
            <w:tcBorders>
              <w:top w:val="single" w:sz="4" w:space="0" w:color="auto"/>
              <w:bottom w:val="single" w:sz="4" w:space="0" w:color="auto"/>
            </w:tcBorders>
            <w:tcMar>
              <w:top w:w="57" w:type="dxa"/>
              <w:bottom w:w="57" w:type="dxa"/>
            </w:tcMar>
          </w:tcPr>
          <w:p w:rsidR="00BA56DD" w:rsidRPr="00EA6EFB" w:rsidRDefault="008A4466" w:rsidP="00A51BFC">
            <w:pPr>
              <w:spacing w:line="240" w:lineRule="auto"/>
              <w:rPr>
                <w:b/>
                <w:color w:val="F18213"/>
                <w:sz w:val="18"/>
                <w:szCs w:val="18"/>
              </w:rPr>
            </w:pPr>
            <w:r w:rsidRPr="00EA6EFB">
              <w:rPr>
                <w:b/>
                <w:color w:val="F18213"/>
                <w:sz w:val="18"/>
                <w:szCs w:val="18"/>
              </w:rPr>
              <w:t>Doel</w:t>
            </w:r>
          </w:p>
          <w:p w:rsidR="007E18CB" w:rsidRPr="00EA6EFB" w:rsidRDefault="00F1051C" w:rsidP="00A51BFC">
            <w:pPr>
              <w:spacing w:line="240" w:lineRule="auto"/>
              <w:rPr>
                <w:sz w:val="18"/>
                <w:szCs w:val="18"/>
              </w:rPr>
            </w:pPr>
            <w:r w:rsidRPr="000D6C8E">
              <w:rPr>
                <w:rFonts w:cs="Arial"/>
                <w:color w:val="000000" w:themeColor="text1"/>
                <w:sz w:val="18"/>
                <w:szCs w:val="18"/>
              </w:rPr>
              <w:t xml:space="preserve">Effectieve ondersteuning </w:t>
            </w:r>
            <w:r>
              <w:rPr>
                <w:rFonts w:cs="Arial"/>
                <w:color w:val="000000" w:themeColor="text1"/>
                <w:sz w:val="18"/>
                <w:szCs w:val="18"/>
              </w:rPr>
              <w:t>ten behoeve van de tuchtrechtspraak</w:t>
            </w:r>
            <w:r w:rsidRPr="000D6C8E">
              <w:rPr>
                <w:rFonts w:cs="Arial"/>
                <w:color w:val="000000" w:themeColor="text1"/>
                <w:sz w:val="18"/>
                <w:szCs w:val="18"/>
              </w:rPr>
              <w:t>.</w:t>
            </w:r>
          </w:p>
        </w:tc>
      </w:tr>
      <w:tr w:rsidR="00952F07" w:rsidRPr="00EA6EFB" w:rsidTr="001603C7">
        <w:trPr>
          <w:trHeight w:val="608"/>
        </w:trPr>
        <w:tc>
          <w:tcPr>
            <w:tcW w:w="14572" w:type="dxa"/>
            <w:gridSpan w:val="2"/>
            <w:tcBorders>
              <w:top w:val="single" w:sz="4" w:space="0" w:color="auto"/>
              <w:bottom w:val="single" w:sz="4" w:space="0" w:color="auto"/>
            </w:tcBorders>
            <w:tcMar>
              <w:top w:w="57" w:type="dxa"/>
              <w:bottom w:w="57" w:type="dxa"/>
            </w:tcMar>
          </w:tcPr>
          <w:p w:rsidR="00952F07" w:rsidRPr="00EA6EFB" w:rsidRDefault="00952F07" w:rsidP="00A51BFC">
            <w:pPr>
              <w:spacing w:line="240" w:lineRule="auto"/>
              <w:rPr>
                <w:b/>
                <w:color w:val="F18213"/>
                <w:sz w:val="18"/>
                <w:szCs w:val="18"/>
              </w:rPr>
            </w:pPr>
            <w:r w:rsidRPr="00EA6EFB">
              <w:rPr>
                <w:b/>
                <w:color w:val="F18213"/>
                <w:sz w:val="18"/>
                <w:szCs w:val="18"/>
              </w:rPr>
              <w:t>Rapportagestructuur</w:t>
            </w:r>
          </w:p>
          <w:p w:rsidR="00952F07" w:rsidRPr="00EA6EFB" w:rsidRDefault="00495514" w:rsidP="00A51BFC">
            <w:pPr>
              <w:tabs>
                <w:tab w:val="left" w:pos="2127"/>
              </w:tabs>
              <w:spacing w:line="240" w:lineRule="auto"/>
              <w:ind w:left="2410" w:hanging="2410"/>
              <w:rPr>
                <w:color w:val="000000" w:themeColor="text1"/>
                <w:sz w:val="18"/>
                <w:szCs w:val="18"/>
                <w:lang w:bidi="x-none"/>
              </w:rPr>
            </w:pPr>
            <w:r w:rsidRPr="00EA6EFB">
              <w:rPr>
                <w:color w:val="000000" w:themeColor="text1"/>
                <w:sz w:val="18"/>
                <w:szCs w:val="18"/>
                <w:lang w:bidi="x-none"/>
              </w:rPr>
              <w:t>Direct leidinggevende</w:t>
            </w:r>
            <w:r w:rsidR="00D47F61" w:rsidRPr="00EA6EFB">
              <w:rPr>
                <w:color w:val="000000" w:themeColor="text1"/>
                <w:sz w:val="18"/>
                <w:szCs w:val="18"/>
                <w:lang w:bidi="x-none"/>
              </w:rPr>
              <w:t>:</w:t>
            </w:r>
            <w:r w:rsidR="00D47F61" w:rsidRPr="00EA6EFB">
              <w:rPr>
                <w:color w:val="000000" w:themeColor="text1"/>
                <w:sz w:val="18"/>
                <w:szCs w:val="18"/>
                <w:lang w:bidi="x-none"/>
              </w:rPr>
              <w:tab/>
            </w:r>
            <w:r w:rsidR="002246D6">
              <w:rPr>
                <w:color w:val="000000" w:themeColor="text1"/>
                <w:sz w:val="18"/>
                <w:szCs w:val="18"/>
                <w:lang w:bidi="x-none"/>
              </w:rPr>
              <w:t>m</w:t>
            </w:r>
            <w:r w:rsidR="00B02DCA">
              <w:rPr>
                <w:color w:val="000000" w:themeColor="text1"/>
                <w:sz w:val="18"/>
                <w:szCs w:val="18"/>
                <w:lang w:bidi="x-none"/>
              </w:rPr>
              <w:t>anager c</w:t>
            </w:r>
            <w:r w:rsidR="00F1051C">
              <w:rPr>
                <w:color w:val="000000" w:themeColor="text1"/>
                <w:sz w:val="18"/>
                <w:szCs w:val="18"/>
                <w:lang w:bidi="x-none"/>
              </w:rPr>
              <w:t>ompetitie- en wedstrijdzaken.</w:t>
            </w:r>
          </w:p>
          <w:p w:rsidR="00D47F61" w:rsidRPr="00EA6EFB" w:rsidRDefault="00D47F61" w:rsidP="00A51BFC">
            <w:pPr>
              <w:tabs>
                <w:tab w:val="left" w:pos="2127"/>
              </w:tabs>
              <w:spacing w:line="240" w:lineRule="auto"/>
              <w:ind w:left="2410" w:hanging="2410"/>
              <w:rPr>
                <w:color w:val="B80526"/>
                <w:sz w:val="18"/>
                <w:szCs w:val="18"/>
                <w:lang w:bidi="x-none"/>
              </w:rPr>
            </w:pPr>
            <w:r w:rsidRPr="00EA6EFB">
              <w:rPr>
                <w:color w:val="000000" w:themeColor="text1"/>
                <w:sz w:val="18"/>
                <w:szCs w:val="18"/>
                <w:lang w:bidi="x-none"/>
              </w:rPr>
              <w:t>Geeft leiding aan:</w:t>
            </w:r>
            <w:r w:rsidRPr="00EA6EFB">
              <w:rPr>
                <w:color w:val="000000" w:themeColor="text1"/>
                <w:sz w:val="18"/>
                <w:szCs w:val="18"/>
                <w:lang w:bidi="x-none"/>
              </w:rPr>
              <w:tab/>
            </w:r>
            <w:r w:rsidR="002246D6">
              <w:rPr>
                <w:color w:val="000000" w:themeColor="text1"/>
                <w:sz w:val="18"/>
                <w:szCs w:val="18"/>
                <w:lang w:bidi="x-none"/>
              </w:rPr>
              <w:t>n</w:t>
            </w:r>
            <w:r w:rsidR="00F1051C">
              <w:rPr>
                <w:color w:val="000000" w:themeColor="text1"/>
                <w:sz w:val="18"/>
                <w:szCs w:val="18"/>
                <w:lang w:bidi="x-none"/>
              </w:rPr>
              <w:t>iet van toepassing.</w:t>
            </w:r>
          </w:p>
        </w:tc>
      </w:tr>
      <w:tr w:rsidR="00860F94" w:rsidRPr="00EA6EFB" w:rsidTr="001603C7">
        <w:trPr>
          <w:trHeight w:hRule="exact" w:val="284"/>
        </w:trPr>
        <w:tc>
          <w:tcPr>
            <w:tcW w:w="10071" w:type="dxa"/>
            <w:tcBorders>
              <w:top w:val="single" w:sz="4" w:space="0" w:color="auto"/>
              <w:bottom w:val="single" w:sz="4" w:space="0" w:color="auto"/>
            </w:tcBorders>
            <w:shd w:val="clear" w:color="auto" w:fill="D9D9D9"/>
            <w:tcMar>
              <w:top w:w="57" w:type="dxa"/>
              <w:bottom w:w="57" w:type="dxa"/>
            </w:tcMar>
          </w:tcPr>
          <w:p w:rsidR="00051C43" w:rsidRPr="001133FD" w:rsidRDefault="00051C43" w:rsidP="00A16B2F">
            <w:pPr>
              <w:spacing w:line="240" w:lineRule="auto"/>
              <w:ind w:left="113" w:hanging="113"/>
              <w:rPr>
                <w:b/>
                <w:color w:val="F18213"/>
                <w:sz w:val="18"/>
                <w:szCs w:val="18"/>
                <w:lang w:bidi="x-none"/>
              </w:rPr>
            </w:pPr>
            <w:r w:rsidRPr="001133FD">
              <w:rPr>
                <w:b/>
                <w:color w:val="F18213"/>
                <w:sz w:val="18"/>
                <w:szCs w:val="18"/>
                <w:lang w:bidi="x-none"/>
              </w:rPr>
              <w:t>Resultaat</w:t>
            </w:r>
            <w:r w:rsidR="00346AD4" w:rsidRPr="001133FD">
              <w:rPr>
                <w:b/>
                <w:color w:val="F18213"/>
                <w:sz w:val="18"/>
                <w:szCs w:val="18"/>
                <w:lang w:bidi="x-none"/>
              </w:rPr>
              <w:t>/bijdrage</w:t>
            </w:r>
          </w:p>
        </w:tc>
        <w:tc>
          <w:tcPr>
            <w:tcW w:w="4501" w:type="dxa"/>
            <w:tcBorders>
              <w:top w:val="single" w:sz="4" w:space="0" w:color="auto"/>
              <w:bottom w:val="single" w:sz="4" w:space="0" w:color="auto"/>
            </w:tcBorders>
            <w:shd w:val="clear" w:color="auto" w:fill="D9D9D9"/>
            <w:tcMar>
              <w:top w:w="57" w:type="dxa"/>
              <w:bottom w:w="57" w:type="dxa"/>
            </w:tcMar>
          </w:tcPr>
          <w:p w:rsidR="00051C43" w:rsidRPr="001133FD" w:rsidRDefault="00346AD4" w:rsidP="00A16B2F">
            <w:pPr>
              <w:spacing w:line="240" w:lineRule="auto"/>
              <w:ind w:left="113" w:hanging="113"/>
              <w:rPr>
                <w:color w:val="F18213"/>
                <w:sz w:val="18"/>
                <w:szCs w:val="18"/>
                <w:lang w:bidi="x-none"/>
              </w:rPr>
            </w:pPr>
            <w:r w:rsidRPr="001133FD">
              <w:rPr>
                <w:b/>
                <w:color w:val="F18213"/>
                <w:sz w:val="18"/>
                <w:szCs w:val="18"/>
                <w:lang w:bidi="x-none"/>
              </w:rPr>
              <w:t>Resultaatindicatoren</w:t>
            </w:r>
          </w:p>
        </w:tc>
      </w:tr>
      <w:tr w:rsidR="00346AD4" w:rsidRPr="00EA6EFB" w:rsidTr="001603C7">
        <w:tc>
          <w:tcPr>
            <w:tcW w:w="10071" w:type="dxa"/>
            <w:tcBorders>
              <w:top w:val="single" w:sz="4" w:space="0" w:color="auto"/>
              <w:bottom w:val="single" w:sz="4" w:space="0" w:color="auto"/>
            </w:tcBorders>
            <w:tcMar>
              <w:top w:w="57" w:type="dxa"/>
              <w:bottom w:w="57" w:type="dxa"/>
            </w:tcMar>
          </w:tcPr>
          <w:p w:rsidR="00A5715F" w:rsidRPr="00EA6EFB" w:rsidRDefault="00A5715F" w:rsidP="00A5715F">
            <w:pPr>
              <w:spacing w:line="240" w:lineRule="auto"/>
              <w:ind w:left="284" w:hanging="284"/>
              <w:rPr>
                <w:b/>
                <w:color w:val="auto"/>
                <w:sz w:val="18"/>
                <w:szCs w:val="18"/>
              </w:rPr>
            </w:pPr>
            <w:r w:rsidRPr="00EA6EFB">
              <w:rPr>
                <w:b/>
                <w:color w:val="auto"/>
                <w:sz w:val="18"/>
                <w:szCs w:val="18"/>
              </w:rPr>
              <w:t>1.</w:t>
            </w:r>
            <w:r w:rsidRPr="00EA6EFB">
              <w:rPr>
                <w:b/>
                <w:color w:val="auto"/>
                <w:sz w:val="18"/>
                <w:szCs w:val="18"/>
              </w:rPr>
              <w:tab/>
            </w:r>
            <w:r w:rsidR="00023CE0">
              <w:rPr>
                <w:b/>
                <w:color w:val="auto"/>
                <w:sz w:val="18"/>
                <w:szCs w:val="18"/>
              </w:rPr>
              <w:t>Registratie tuchtzaken en administratieve ondersteuning</w:t>
            </w:r>
          </w:p>
          <w:p w:rsidR="00722FC8" w:rsidRPr="00023CE0" w:rsidRDefault="00A5715F" w:rsidP="00722FC8">
            <w:pPr>
              <w:spacing w:line="240" w:lineRule="auto"/>
              <w:ind w:left="284" w:hanging="284"/>
              <w:rPr>
                <w:rFonts w:cs="Arial"/>
                <w:color w:val="000000" w:themeColor="text1"/>
                <w:sz w:val="18"/>
                <w:szCs w:val="18"/>
              </w:rPr>
            </w:pPr>
            <w:r w:rsidRPr="00EA6EFB">
              <w:rPr>
                <w:color w:val="auto"/>
                <w:sz w:val="18"/>
                <w:szCs w:val="18"/>
              </w:rPr>
              <w:tab/>
            </w:r>
            <w:r w:rsidRPr="000D6C8E">
              <w:rPr>
                <w:rFonts w:cs="Arial"/>
                <w:color w:val="000000" w:themeColor="text1"/>
                <w:sz w:val="18"/>
                <w:szCs w:val="18"/>
              </w:rPr>
              <w:t xml:space="preserve">Er is effectief invulling en uitvoering gegeven aan </w:t>
            </w:r>
            <w:r w:rsidR="00023CE0">
              <w:rPr>
                <w:rFonts w:cs="Arial"/>
                <w:color w:val="000000" w:themeColor="text1"/>
                <w:sz w:val="18"/>
                <w:szCs w:val="18"/>
              </w:rPr>
              <w:t xml:space="preserve">de registratie van </w:t>
            </w:r>
            <w:r w:rsidR="00722FC8">
              <w:rPr>
                <w:rFonts w:cs="Arial"/>
                <w:color w:val="000000" w:themeColor="text1"/>
                <w:sz w:val="18"/>
                <w:szCs w:val="18"/>
              </w:rPr>
              <w:t xml:space="preserve">(protest/beroep) </w:t>
            </w:r>
            <w:r w:rsidR="00023CE0">
              <w:rPr>
                <w:rFonts w:cs="Arial"/>
                <w:color w:val="000000" w:themeColor="text1"/>
                <w:sz w:val="18"/>
                <w:szCs w:val="18"/>
              </w:rPr>
              <w:t>tuchtzaken en administratieve</w:t>
            </w:r>
            <w:r w:rsidRPr="000D6C8E">
              <w:rPr>
                <w:rFonts w:cs="Arial"/>
                <w:color w:val="000000" w:themeColor="text1"/>
                <w:sz w:val="18"/>
                <w:szCs w:val="18"/>
              </w:rPr>
              <w:t xml:space="preserve"> activiteiten</w:t>
            </w:r>
            <w:r w:rsidR="00722FC8">
              <w:rPr>
                <w:rFonts w:cs="Arial"/>
                <w:color w:val="000000" w:themeColor="text1"/>
                <w:sz w:val="18"/>
                <w:szCs w:val="18"/>
              </w:rPr>
              <w:t xml:space="preserve"> (dossiervorming, standaard-correspondentie, bijhouden overzichten, archiefbeheer).</w:t>
            </w:r>
          </w:p>
          <w:p w:rsidR="00023CE0" w:rsidRPr="00023CE0" w:rsidRDefault="00023CE0" w:rsidP="00023CE0">
            <w:pPr>
              <w:spacing w:line="240" w:lineRule="auto"/>
              <w:ind w:left="568" w:hanging="284"/>
              <w:rPr>
                <w:rFonts w:cs="Arial"/>
                <w:color w:val="000000" w:themeColor="text1"/>
                <w:sz w:val="18"/>
                <w:szCs w:val="18"/>
              </w:rPr>
            </w:pPr>
          </w:p>
        </w:tc>
        <w:tc>
          <w:tcPr>
            <w:tcW w:w="4501" w:type="dxa"/>
            <w:tcBorders>
              <w:top w:val="single" w:sz="4" w:space="0" w:color="auto"/>
              <w:bottom w:val="single" w:sz="4" w:space="0" w:color="auto"/>
            </w:tcBorders>
            <w:tcMar>
              <w:top w:w="57" w:type="dxa"/>
              <w:bottom w:w="57" w:type="dxa"/>
            </w:tcMar>
          </w:tcPr>
          <w:p w:rsidR="00A5715F" w:rsidRDefault="00A5715F" w:rsidP="00A5715F">
            <w:pPr>
              <w:spacing w:line="240" w:lineRule="auto"/>
              <w:ind w:left="284" w:hanging="284"/>
              <w:rPr>
                <w:color w:val="auto"/>
                <w:sz w:val="18"/>
                <w:szCs w:val="18"/>
              </w:rPr>
            </w:pPr>
            <w:r w:rsidRPr="000D6C8E">
              <w:rPr>
                <w:color w:val="auto"/>
                <w:sz w:val="18"/>
                <w:szCs w:val="18"/>
              </w:rPr>
              <w:t>-</w:t>
            </w:r>
            <w:r w:rsidRPr="000D6C8E">
              <w:rPr>
                <w:color w:val="auto"/>
                <w:sz w:val="18"/>
                <w:szCs w:val="18"/>
              </w:rPr>
              <w:tab/>
              <w:t>conform procedures,</w:t>
            </w:r>
            <w:r w:rsidR="00023CE0">
              <w:rPr>
                <w:color w:val="auto"/>
                <w:sz w:val="18"/>
                <w:szCs w:val="18"/>
              </w:rPr>
              <w:t xml:space="preserve"> instructies</w:t>
            </w:r>
            <w:r w:rsidRPr="000D6C8E">
              <w:rPr>
                <w:color w:val="auto"/>
                <w:sz w:val="18"/>
                <w:szCs w:val="18"/>
              </w:rPr>
              <w:t>, formats;</w:t>
            </w:r>
          </w:p>
          <w:p w:rsidR="00A5715F" w:rsidRPr="000D6C8E" w:rsidRDefault="00023CE0" w:rsidP="00023CE0">
            <w:pPr>
              <w:spacing w:line="240" w:lineRule="auto"/>
              <w:ind w:left="284" w:hanging="284"/>
              <w:rPr>
                <w:color w:val="auto"/>
                <w:sz w:val="18"/>
                <w:szCs w:val="18"/>
              </w:rPr>
            </w:pPr>
            <w:r>
              <w:rPr>
                <w:color w:val="auto"/>
                <w:sz w:val="18"/>
                <w:szCs w:val="18"/>
                <w:lang w:bidi="x-none"/>
              </w:rPr>
              <w:t>-</w:t>
            </w:r>
            <w:r>
              <w:rPr>
                <w:color w:val="auto"/>
                <w:sz w:val="18"/>
                <w:szCs w:val="18"/>
                <w:lang w:bidi="x-none"/>
              </w:rPr>
              <w:tab/>
              <w:t>juistheid, tijdigheid en volledigheid verwerking.</w:t>
            </w:r>
          </w:p>
          <w:p w:rsidR="00A5715F" w:rsidRPr="000D6C8E" w:rsidRDefault="00A5715F" w:rsidP="00A5715F">
            <w:pPr>
              <w:spacing w:line="240" w:lineRule="auto"/>
              <w:ind w:left="284" w:hanging="284"/>
              <w:rPr>
                <w:color w:val="auto"/>
                <w:sz w:val="18"/>
                <w:szCs w:val="18"/>
              </w:rPr>
            </w:pPr>
            <w:r w:rsidRPr="000D6C8E">
              <w:rPr>
                <w:color w:val="auto"/>
                <w:sz w:val="18"/>
                <w:szCs w:val="18"/>
              </w:rPr>
              <w:t>-</w:t>
            </w:r>
            <w:r w:rsidRPr="000D6C8E">
              <w:rPr>
                <w:color w:val="auto"/>
                <w:sz w:val="18"/>
                <w:szCs w:val="18"/>
              </w:rPr>
              <w:tab/>
              <w:t>toegankelijkheid</w:t>
            </w:r>
            <w:r>
              <w:rPr>
                <w:color w:val="auto"/>
                <w:sz w:val="18"/>
                <w:szCs w:val="18"/>
              </w:rPr>
              <w:t>, terugvindbaarheid</w:t>
            </w:r>
            <w:r w:rsidRPr="000D6C8E">
              <w:rPr>
                <w:color w:val="auto"/>
                <w:sz w:val="18"/>
                <w:szCs w:val="18"/>
              </w:rPr>
              <w:t xml:space="preserve"> informatie;</w:t>
            </w:r>
          </w:p>
          <w:p w:rsidR="00051C43" w:rsidRPr="00EA6EFB" w:rsidRDefault="00A5715F" w:rsidP="00A5715F">
            <w:pPr>
              <w:spacing w:line="240" w:lineRule="auto"/>
              <w:ind w:left="284" w:hanging="284"/>
              <w:rPr>
                <w:color w:val="auto"/>
                <w:sz w:val="18"/>
                <w:szCs w:val="18"/>
              </w:rPr>
            </w:pPr>
            <w:r w:rsidRPr="000D6C8E">
              <w:rPr>
                <w:color w:val="auto"/>
                <w:sz w:val="18"/>
                <w:szCs w:val="18"/>
              </w:rPr>
              <w:t>-</w:t>
            </w:r>
            <w:r w:rsidRPr="000D6C8E">
              <w:rPr>
                <w:color w:val="auto"/>
                <w:sz w:val="18"/>
                <w:szCs w:val="18"/>
              </w:rPr>
              <w:tab/>
              <w:t xml:space="preserve">tevredenheid </w:t>
            </w:r>
            <w:r w:rsidR="002246D6">
              <w:rPr>
                <w:color w:val="auto"/>
                <w:sz w:val="18"/>
                <w:szCs w:val="18"/>
              </w:rPr>
              <w:t>over</w:t>
            </w:r>
            <w:r>
              <w:rPr>
                <w:color w:val="auto"/>
                <w:sz w:val="18"/>
                <w:szCs w:val="18"/>
              </w:rPr>
              <w:t xml:space="preserve"> verleende ondersteuning</w:t>
            </w:r>
            <w:r w:rsidRPr="000D6C8E">
              <w:rPr>
                <w:color w:val="auto"/>
                <w:sz w:val="18"/>
                <w:szCs w:val="18"/>
              </w:rPr>
              <w:t>.</w:t>
            </w:r>
          </w:p>
        </w:tc>
      </w:tr>
      <w:tr w:rsidR="003A231F" w:rsidRPr="00EA6EFB" w:rsidTr="001603C7">
        <w:trPr>
          <w:trHeight w:val="500"/>
        </w:trPr>
        <w:tc>
          <w:tcPr>
            <w:tcW w:w="10071" w:type="dxa"/>
            <w:tcBorders>
              <w:top w:val="single" w:sz="4" w:space="0" w:color="auto"/>
              <w:bottom w:val="single" w:sz="4" w:space="0" w:color="auto"/>
            </w:tcBorders>
            <w:tcMar>
              <w:top w:w="57" w:type="dxa"/>
              <w:bottom w:w="57" w:type="dxa"/>
            </w:tcMar>
          </w:tcPr>
          <w:p w:rsidR="003A231F" w:rsidRPr="00EA6EFB" w:rsidRDefault="003A231F" w:rsidP="003A231F">
            <w:pPr>
              <w:spacing w:line="240" w:lineRule="auto"/>
              <w:ind w:left="284" w:hanging="284"/>
              <w:rPr>
                <w:b/>
                <w:color w:val="auto"/>
                <w:sz w:val="18"/>
                <w:szCs w:val="18"/>
              </w:rPr>
            </w:pPr>
            <w:r>
              <w:rPr>
                <w:b/>
                <w:color w:val="auto"/>
                <w:sz w:val="18"/>
                <w:szCs w:val="18"/>
              </w:rPr>
              <w:t>2</w:t>
            </w:r>
            <w:r w:rsidRPr="00EA6EFB">
              <w:rPr>
                <w:b/>
                <w:color w:val="auto"/>
                <w:sz w:val="18"/>
                <w:szCs w:val="18"/>
              </w:rPr>
              <w:t>.</w:t>
            </w:r>
            <w:r w:rsidRPr="00EA6EFB">
              <w:rPr>
                <w:b/>
                <w:color w:val="auto"/>
                <w:sz w:val="18"/>
                <w:szCs w:val="18"/>
              </w:rPr>
              <w:tab/>
            </w:r>
            <w:r w:rsidR="00F04D5E">
              <w:rPr>
                <w:b/>
                <w:color w:val="auto"/>
                <w:sz w:val="18"/>
                <w:szCs w:val="18"/>
              </w:rPr>
              <w:t>Organisatie en planning van de zittingen</w:t>
            </w:r>
          </w:p>
          <w:p w:rsidR="003A231F" w:rsidRPr="00EA6EFB" w:rsidRDefault="003A231F" w:rsidP="003A231F">
            <w:pPr>
              <w:spacing w:line="240" w:lineRule="auto"/>
              <w:ind w:left="284" w:hanging="284"/>
              <w:rPr>
                <w:color w:val="auto"/>
                <w:sz w:val="18"/>
                <w:szCs w:val="18"/>
              </w:rPr>
            </w:pPr>
            <w:r w:rsidRPr="00EA6EFB">
              <w:rPr>
                <w:color w:val="auto"/>
                <w:sz w:val="18"/>
                <w:szCs w:val="18"/>
              </w:rPr>
              <w:tab/>
            </w:r>
            <w:r w:rsidR="00F04D5E">
              <w:rPr>
                <w:color w:val="auto"/>
                <w:sz w:val="18"/>
                <w:szCs w:val="18"/>
              </w:rPr>
              <w:t>De zittingen zijn goed gepland en verlopen, conform de gestelde termijn van de strafzaken.</w:t>
            </w:r>
            <w:r w:rsidRPr="00EA6EFB">
              <w:rPr>
                <w:color w:val="auto"/>
                <w:sz w:val="18"/>
                <w:szCs w:val="18"/>
              </w:rPr>
              <w:tab/>
              <w:t xml:space="preserve"> </w:t>
            </w:r>
          </w:p>
        </w:tc>
        <w:tc>
          <w:tcPr>
            <w:tcW w:w="4501" w:type="dxa"/>
            <w:tcBorders>
              <w:top w:val="single" w:sz="4" w:space="0" w:color="auto"/>
              <w:bottom w:val="single" w:sz="4" w:space="0" w:color="auto"/>
            </w:tcBorders>
            <w:tcMar>
              <w:top w:w="57" w:type="dxa"/>
              <w:bottom w:w="57" w:type="dxa"/>
            </w:tcMar>
          </w:tcPr>
          <w:p w:rsidR="003A231F" w:rsidRDefault="003A231F" w:rsidP="003A231F">
            <w:pPr>
              <w:spacing w:line="240" w:lineRule="auto"/>
              <w:ind w:left="284" w:hanging="284"/>
              <w:rPr>
                <w:color w:val="auto"/>
                <w:sz w:val="18"/>
                <w:szCs w:val="18"/>
              </w:rPr>
            </w:pPr>
            <w:r w:rsidRPr="00EA6EFB">
              <w:rPr>
                <w:color w:val="auto"/>
                <w:sz w:val="18"/>
                <w:szCs w:val="18"/>
              </w:rPr>
              <w:t>-</w:t>
            </w:r>
            <w:r w:rsidRPr="00EA6EFB">
              <w:rPr>
                <w:color w:val="auto"/>
                <w:sz w:val="18"/>
                <w:szCs w:val="18"/>
              </w:rPr>
              <w:tab/>
            </w:r>
            <w:r w:rsidR="00023CE0" w:rsidRPr="000D6C8E">
              <w:rPr>
                <w:color w:val="auto"/>
                <w:sz w:val="18"/>
                <w:szCs w:val="18"/>
              </w:rPr>
              <w:t xml:space="preserve">effectieve </w:t>
            </w:r>
            <w:r w:rsidR="00023CE0">
              <w:rPr>
                <w:color w:val="auto"/>
                <w:sz w:val="18"/>
                <w:szCs w:val="18"/>
              </w:rPr>
              <w:t>organisatie</w:t>
            </w:r>
            <w:r w:rsidR="00F04D5E">
              <w:rPr>
                <w:color w:val="auto"/>
                <w:sz w:val="18"/>
                <w:szCs w:val="18"/>
              </w:rPr>
              <w:t xml:space="preserve"> en</w:t>
            </w:r>
            <w:r w:rsidR="00023CE0">
              <w:rPr>
                <w:color w:val="auto"/>
                <w:sz w:val="18"/>
                <w:szCs w:val="18"/>
              </w:rPr>
              <w:t xml:space="preserve"> </w:t>
            </w:r>
            <w:r w:rsidR="00023CE0" w:rsidRPr="000D6C8E">
              <w:rPr>
                <w:color w:val="auto"/>
                <w:sz w:val="18"/>
                <w:szCs w:val="18"/>
              </w:rPr>
              <w:t xml:space="preserve">voorbereiding </w:t>
            </w:r>
            <w:r w:rsidR="00F04D5E">
              <w:rPr>
                <w:color w:val="auto"/>
                <w:sz w:val="18"/>
                <w:szCs w:val="18"/>
              </w:rPr>
              <w:t>van de zittingen;</w:t>
            </w:r>
          </w:p>
          <w:p w:rsidR="003A231F" w:rsidRPr="00EA6EFB" w:rsidRDefault="00F04D5E" w:rsidP="00F04D5E">
            <w:pPr>
              <w:spacing w:line="240" w:lineRule="auto"/>
              <w:ind w:left="284" w:hanging="284"/>
              <w:rPr>
                <w:color w:val="auto"/>
                <w:sz w:val="18"/>
                <w:szCs w:val="18"/>
              </w:rPr>
            </w:pPr>
            <w:r>
              <w:rPr>
                <w:color w:val="auto"/>
                <w:sz w:val="18"/>
                <w:szCs w:val="18"/>
              </w:rPr>
              <w:t>-</w:t>
            </w:r>
            <w:r>
              <w:rPr>
                <w:color w:val="auto"/>
                <w:sz w:val="18"/>
                <w:szCs w:val="18"/>
              </w:rPr>
              <w:tab/>
              <w:t>conform gestelde termijn.</w:t>
            </w:r>
          </w:p>
        </w:tc>
      </w:tr>
      <w:tr w:rsidR="00A5715F" w:rsidRPr="00EA6EFB" w:rsidTr="001603C7">
        <w:trPr>
          <w:trHeight w:val="538"/>
        </w:trPr>
        <w:tc>
          <w:tcPr>
            <w:tcW w:w="10071" w:type="dxa"/>
            <w:tcBorders>
              <w:top w:val="single" w:sz="4" w:space="0" w:color="auto"/>
              <w:bottom w:val="single" w:sz="4" w:space="0" w:color="auto"/>
            </w:tcBorders>
            <w:tcMar>
              <w:top w:w="57" w:type="dxa"/>
              <w:bottom w:w="57" w:type="dxa"/>
            </w:tcMar>
          </w:tcPr>
          <w:p w:rsidR="00A5715F" w:rsidRPr="00EA6EFB" w:rsidRDefault="00023CE0" w:rsidP="00A5715F">
            <w:pPr>
              <w:spacing w:line="240" w:lineRule="auto"/>
              <w:ind w:left="284" w:hanging="284"/>
              <w:rPr>
                <w:b/>
                <w:color w:val="auto"/>
                <w:sz w:val="18"/>
                <w:szCs w:val="18"/>
              </w:rPr>
            </w:pPr>
            <w:r>
              <w:rPr>
                <w:b/>
                <w:color w:val="auto"/>
                <w:sz w:val="18"/>
                <w:szCs w:val="18"/>
              </w:rPr>
              <w:t>3</w:t>
            </w:r>
            <w:r w:rsidR="00A5715F" w:rsidRPr="00EA6EFB">
              <w:rPr>
                <w:b/>
                <w:color w:val="auto"/>
                <w:sz w:val="18"/>
                <w:szCs w:val="18"/>
              </w:rPr>
              <w:t>.</w:t>
            </w:r>
            <w:r w:rsidR="00A5715F" w:rsidRPr="00EA6EFB">
              <w:rPr>
                <w:b/>
                <w:color w:val="auto"/>
                <w:sz w:val="18"/>
                <w:szCs w:val="18"/>
              </w:rPr>
              <w:tab/>
            </w:r>
            <w:r w:rsidR="00A5715F">
              <w:rPr>
                <w:b/>
                <w:color w:val="auto"/>
                <w:sz w:val="18"/>
                <w:szCs w:val="18"/>
              </w:rPr>
              <w:t>In- en externe informatievoorziening</w:t>
            </w:r>
          </w:p>
          <w:p w:rsidR="00A5715F" w:rsidRPr="00EA6EFB" w:rsidRDefault="00A5715F" w:rsidP="00A5715F">
            <w:pPr>
              <w:spacing w:line="240" w:lineRule="auto"/>
              <w:ind w:left="284" w:hanging="284"/>
              <w:rPr>
                <w:color w:val="auto"/>
                <w:sz w:val="18"/>
                <w:szCs w:val="18"/>
              </w:rPr>
            </w:pPr>
            <w:r w:rsidRPr="00EA6EFB">
              <w:rPr>
                <w:color w:val="auto"/>
                <w:sz w:val="18"/>
                <w:szCs w:val="18"/>
              </w:rPr>
              <w:tab/>
            </w:r>
            <w:r>
              <w:rPr>
                <w:rFonts w:cs="Arial"/>
                <w:color w:val="000000" w:themeColor="text1"/>
                <w:sz w:val="18"/>
                <w:szCs w:val="18"/>
              </w:rPr>
              <w:t xml:space="preserve">De informatievoorziening, zowel intern als extern, </w:t>
            </w:r>
            <w:r w:rsidRPr="000D6C8E">
              <w:rPr>
                <w:rFonts w:cs="Arial"/>
                <w:color w:val="000000" w:themeColor="text1"/>
                <w:sz w:val="18"/>
                <w:szCs w:val="18"/>
              </w:rPr>
              <w:t>is effectief uitgevoerd, zodanig dat alle betrokkenen tijdig beschikken over de voor hun relevante informatie.</w:t>
            </w:r>
          </w:p>
        </w:tc>
        <w:tc>
          <w:tcPr>
            <w:tcW w:w="4501" w:type="dxa"/>
            <w:tcBorders>
              <w:top w:val="single" w:sz="4" w:space="0" w:color="auto"/>
              <w:bottom w:val="single" w:sz="4" w:space="0" w:color="auto"/>
            </w:tcBorders>
            <w:tcMar>
              <w:top w:w="57" w:type="dxa"/>
              <w:bottom w:w="57" w:type="dxa"/>
            </w:tcMar>
          </w:tcPr>
          <w:p w:rsidR="00A5715F" w:rsidRPr="000D6C8E" w:rsidRDefault="00A5715F" w:rsidP="00A5715F">
            <w:pPr>
              <w:spacing w:line="240" w:lineRule="auto"/>
              <w:ind w:left="284" w:hanging="284"/>
              <w:rPr>
                <w:rFonts w:cs="Arial"/>
                <w:color w:val="000000" w:themeColor="text1"/>
                <w:sz w:val="18"/>
                <w:szCs w:val="18"/>
                <w:lang w:bidi="x-none"/>
              </w:rPr>
            </w:pPr>
            <w:r w:rsidRPr="000D6C8E">
              <w:rPr>
                <w:rFonts w:cs="Arial"/>
                <w:color w:val="000000" w:themeColor="text1"/>
                <w:sz w:val="18"/>
                <w:szCs w:val="18"/>
                <w:lang w:bidi="x-none"/>
              </w:rPr>
              <w:t>-</w:t>
            </w:r>
            <w:r w:rsidRPr="000D6C8E">
              <w:rPr>
                <w:rFonts w:cs="Arial"/>
                <w:color w:val="000000" w:themeColor="text1"/>
                <w:sz w:val="18"/>
                <w:szCs w:val="18"/>
                <w:lang w:bidi="x-none"/>
              </w:rPr>
              <w:tab/>
              <w:t>juist</w:t>
            </w:r>
            <w:r>
              <w:rPr>
                <w:rFonts w:cs="Arial"/>
                <w:color w:val="000000" w:themeColor="text1"/>
                <w:sz w:val="18"/>
                <w:szCs w:val="18"/>
                <w:lang w:bidi="x-none"/>
              </w:rPr>
              <w:t>e</w:t>
            </w:r>
            <w:r w:rsidRPr="000D6C8E">
              <w:rPr>
                <w:rFonts w:cs="Arial"/>
                <w:color w:val="000000" w:themeColor="text1"/>
                <w:sz w:val="18"/>
                <w:szCs w:val="18"/>
                <w:lang w:bidi="x-none"/>
              </w:rPr>
              <w:t>, tijdig</w:t>
            </w:r>
            <w:r>
              <w:rPr>
                <w:rFonts w:cs="Arial"/>
                <w:color w:val="000000" w:themeColor="text1"/>
                <w:sz w:val="18"/>
                <w:szCs w:val="18"/>
                <w:lang w:bidi="x-none"/>
              </w:rPr>
              <w:t>e</w:t>
            </w:r>
            <w:r w:rsidRPr="000D6C8E">
              <w:rPr>
                <w:rFonts w:cs="Arial"/>
                <w:color w:val="000000" w:themeColor="text1"/>
                <w:sz w:val="18"/>
                <w:szCs w:val="18"/>
                <w:lang w:bidi="x-none"/>
              </w:rPr>
              <w:t>, volledig</w:t>
            </w:r>
            <w:r>
              <w:rPr>
                <w:rFonts w:cs="Arial"/>
                <w:color w:val="000000" w:themeColor="text1"/>
                <w:sz w:val="18"/>
                <w:szCs w:val="18"/>
                <w:lang w:bidi="x-none"/>
              </w:rPr>
              <w:t>e informatievoorziening</w:t>
            </w:r>
            <w:r w:rsidRPr="000D6C8E">
              <w:rPr>
                <w:rFonts w:cs="Arial"/>
                <w:color w:val="000000" w:themeColor="text1"/>
                <w:sz w:val="18"/>
                <w:szCs w:val="18"/>
                <w:lang w:bidi="x-none"/>
              </w:rPr>
              <w:t>;</w:t>
            </w:r>
          </w:p>
          <w:p w:rsidR="00A5715F" w:rsidRPr="000D6C8E" w:rsidRDefault="00A5715F" w:rsidP="00A5715F">
            <w:pPr>
              <w:spacing w:line="240" w:lineRule="auto"/>
              <w:ind w:left="284" w:hanging="284"/>
              <w:rPr>
                <w:color w:val="auto"/>
                <w:sz w:val="18"/>
                <w:szCs w:val="18"/>
              </w:rPr>
            </w:pPr>
            <w:r w:rsidRPr="000D6C8E">
              <w:rPr>
                <w:rFonts w:cs="Arial"/>
                <w:color w:val="000000" w:themeColor="text1"/>
                <w:sz w:val="18"/>
                <w:szCs w:val="18"/>
                <w:lang w:bidi="x-none"/>
              </w:rPr>
              <w:t>-</w:t>
            </w:r>
            <w:r w:rsidRPr="000D6C8E">
              <w:rPr>
                <w:rFonts w:cs="Arial"/>
                <w:color w:val="000000" w:themeColor="text1"/>
                <w:sz w:val="18"/>
                <w:szCs w:val="18"/>
                <w:lang w:bidi="x-none"/>
              </w:rPr>
              <w:tab/>
            </w:r>
            <w:r>
              <w:rPr>
                <w:rFonts w:cs="Arial"/>
                <w:color w:val="000000" w:themeColor="text1"/>
                <w:sz w:val="18"/>
                <w:szCs w:val="18"/>
                <w:lang w:bidi="x-none"/>
              </w:rPr>
              <w:t>conform instructies, opdracht</w:t>
            </w:r>
            <w:r w:rsidRPr="000D6C8E">
              <w:rPr>
                <w:rFonts w:cs="Arial"/>
                <w:color w:val="000000" w:themeColor="text1"/>
                <w:sz w:val="18"/>
                <w:szCs w:val="18"/>
                <w:lang w:bidi="x-none"/>
              </w:rPr>
              <w:t>.</w:t>
            </w:r>
          </w:p>
        </w:tc>
      </w:tr>
      <w:tr w:rsidR="00F1051C" w:rsidRPr="00EA6EFB" w:rsidTr="001603C7">
        <w:trPr>
          <w:trHeight w:val="301"/>
        </w:trPr>
        <w:tc>
          <w:tcPr>
            <w:tcW w:w="14572" w:type="dxa"/>
            <w:gridSpan w:val="2"/>
            <w:tcBorders>
              <w:top w:val="single" w:sz="4" w:space="0" w:color="auto"/>
              <w:bottom w:val="single" w:sz="4" w:space="0" w:color="auto"/>
            </w:tcBorders>
            <w:tcMar>
              <w:top w:w="57" w:type="dxa"/>
              <w:bottom w:w="57" w:type="dxa"/>
            </w:tcMar>
          </w:tcPr>
          <w:p w:rsidR="00F1051C" w:rsidRPr="00EA6EFB" w:rsidRDefault="00F1051C" w:rsidP="00F1051C">
            <w:pPr>
              <w:spacing w:line="240" w:lineRule="auto"/>
              <w:ind w:left="284" w:hanging="284"/>
              <w:rPr>
                <w:color w:val="F18213"/>
                <w:sz w:val="18"/>
                <w:szCs w:val="18"/>
              </w:rPr>
            </w:pPr>
            <w:r w:rsidRPr="00EA6EFB">
              <w:rPr>
                <w:b/>
                <w:color w:val="F18213"/>
                <w:sz w:val="18"/>
                <w:szCs w:val="18"/>
              </w:rPr>
              <w:t>Bezwarende werkomstandigheden</w:t>
            </w:r>
          </w:p>
          <w:p w:rsidR="00F1051C" w:rsidRPr="00EA6EFB" w:rsidRDefault="00F1051C" w:rsidP="00F1051C">
            <w:pPr>
              <w:spacing w:line="240" w:lineRule="auto"/>
              <w:ind w:left="284" w:hanging="284"/>
              <w:rPr>
                <w:color w:val="auto"/>
                <w:sz w:val="18"/>
                <w:szCs w:val="18"/>
              </w:rPr>
            </w:pPr>
            <w:r w:rsidRPr="00EA6EFB">
              <w:rPr>
                <w:color w:val="auto"/>
                <w:sz w:val="18"/>
                <w:szCs w:val="18"/>
              </w:rPr>
              <w:t>-</w:t>
            </w:r>
            <w:r w:rsidRPr="00EA6EFB">
              <w:rPr>
                <w:color w:val="auto"/>
                <w:sz w:val="18"/>
                <w:szCs w:val="18"/>
              </w:rPr>
              <w:tab/>
            </w:r>
            <w:r>
              <w:rPr>
                <w:color w:val="auto"/>
                <w:sz w:val="18"/>
                <w:szCs w:val="18"/>
              </w:rPr>
              <w:t>Geen bijzondere.</w:t>
            </w:r>
          </w:p>
        </w:tc>
      </w:tr>
    </w:tbl>
    <w:p w:rsidR="00CA42AF" w:rsidRPr="00EA6EFB" w:rsidRDefault="00EA6EFB" w:rsidP="00EA6EFB">
      <w:pPr>
        <w:tabs>
          <w:tab w:val="right" w:pos="14570"/>
        </w:tabs>
        <w:spacing w:line="240" w:lineRule="auto"/>
        <w:rPr>
          <w:color w:val="auto"/>
          <w:sz w:val="14"/>
          <w:szCs w:val="14"/>
        </w:rPr>
      </w:pPr>
      <w:bookmarkStart w:id="0" w:name="_GoBack"/>
      <w:bookmarkEnd w:id="0"/>
      <w:r>
        <w:rPr>
          <w:i/>
          <w:color w:val="auto"/>
          <w:sz w:val="16"/>
        </w:rPr>
        <w:tab/>
      </w:r>
    </w:p>
    <w:sectPr w:rsidR="00CA42AF" w:rsidRPr="00EA6EFB" w:rsidSect="009D0165">
      <w:headerReference w:type="even" r:id="rId7"/>
      <w:headerReference w:type="default" r:id="rId8"/>
      <w:footerReference w:type="even" r:id="rId9"/>
      <w:footerReference w:type="default" r:id="rId10"/>
      <w:headerReference w:type="first" r:id="rId11"/>
      <w:footerReference w:type="first" r:id="rId12"/>
      <w:pgSz w:w="16838" w:h="11899" w:orient="landscape"/>
      <w:pgMar w:top="1134" w:right="1134" w:bottom="1134" w:left="1134" w:header="113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F0A" w:rsidRDefault="00B53F0A" w:rsidP="001073D2">
      <w:pPr>
        <w:spacing w:line="240" w:lineRule="auto"/>
      </w:pPr>
      <w:r>
        <w:separator/>
      </w:r>
    </w:p>
  </w:endnote>
  <w:endnote w:type="continuationSeparator" w:id="0">
    <w:p w:rsidR="00B53F0A" w:rsidRDefault="00B53F0A"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B0604020202020204"/>
    <w:charset w:val="00"/>
    <w:family w:val="auto"/>
    <w:pitch w:val="variable"/>
    <w:sig w:usb0="00000003" w:usb1="00000000" w:usb2="00000000" w:usb3="00000000" w:csb0="00000007"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4D7" w:rsidRDefault="002334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75D" w:rsidRPr="00FF5B7D" w:rsidRDefault="000C1D4D" w:rsidP="000C1D4D">
    <w:pPr>
      <w:pStyle w:val="Voettekst"/>
      <w:tabs>
        <w:tab w:val="clear" w:pos="4153"/>
        <w:tab w:val="clear" w:pos="8306"/>
        <w:tab w:val="right" w:pos="15026"/>
      </w:tabs>
      <w:spacing w:line="240" w:lineRule="atLeast"/>
      <w:ind w:right="-518"/>
      <w:jc w:val="left"/>
      <w:rPr>
        <w:b/>
        <w:color w:val="auto"/>
        <w:sz w:val="16"/>
      </w:rPr>
    </w:pPr>
    <w:r>
      <w:rPr>
        <w:color w:val="auto"/>
        <w:sz w:val="16"/>
      </w:rPr>
      <w:t>Opgesteld door EVZ organisatie-advies</w:t>
    </w:r>
    <w:r w:rsidR="00182624">
      <w:rPr>
        <w:color w:val="auto"/>
        <w:sz w:val="16"/>
      </w:rPr>
      <w:t xml:space="preserve"> </w:t>
    </w:r>
    <w:r w:rsidR="00CE1D21">
      <w:rPr>
        <w:color w:val="auto"/>
        <w:sz w:val="16"/>
      </w:rPr>
      <w:t xml:space="preserve">| </w:t>
    </w:r>
    <w:r w:rsidR="002334D7">
      <w:rPr>
        <w:color w:val="auto"/>
        <w:sz w:val="16"/>
      </w:rPr>
      <w:t>2409</w:t>
    </w:r>
    <w:r w:rsidR="00182624">
      <w:rPr>
        <w:color w:val="auto"/>
        <w:sz w:val="16"/>
      </w:rPr>
      <w:t>18</w:t>
    </w:r>
    <w:r w:rsidR="00CA42AF">
      <w:rPr>
        <w:noProof/>
        <w:color w:val="auto"/>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4D7" w:rsidRDefault="002334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F0A" w:rsidRDefault="00B53F0A" w:rsidP="001073D2">
      <w:pPr>
        <w:spacing w:line="240" w:lineRule="auto"/>
      </w:pPr>
      <w:r>
        <w:separator/>
      </w:r>
    </w:p>
  </w:footnote>
  <w:footnote w:type="continuationSeparator" w:id="0">
    <w:p w:rsidR="00B53F0A" w:rsidRDefault="00B53F0A" w:rsidP="001073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4D7" w:rsidRDefault="002334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F94" w:rsidRPr="001C6E47" w:rsidRDefault="009D0165" w:rsidP="00EA3029">
    <w:pPr>
      <w:pStyle w:val="Koptekst"/>
      <w:tabs>
        <w:tab w:val="clear" w:pos="4153"/>
        <w:tab w:val="clear" w:pos="8306"/>
        <w:tab w:val="left" w:pos="851"/>
        <w:tab w:val="center" w:pos="5245"/>
        <w:tab w:val="right" w:pos="9639"/>
      </w:tabs>
      <w:ind w:left="1134" w:right="-292" w:hanging="1134"/>
      <w:jc w:val="left"/>
      <w:rPr>
        <w:color w:val="auto"/>
        <w:sz w:val="16"/>
        <w:szCs w:val="16"/>
        <w:lang w:eastAsia="nl-NL"/>
      </w:rPr>
    </w:pPr>
    <w:r>
      <w:rPr>
        <w:noProof/>
        <w:lang w:eastAsia="nl-NL"/>
      </w:rPr>
      <w:t>FUNCTIE-OMSCHRIJVING</w:t>
    </w:r>
    <w:r w:rsidR="00EA3029">
      <w:rPr>
        <w:noProof/>
        <w:lang w:eastAsia="nl-NL"/>
      </w:rPr>
      <w:tab/>
    </w:r>
    <w:r w:rsidR="00EA3029">
      <w:rPr>
        <w:noProof/>
        <w:lang w:eastAsia="nl-N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4D7" w:rsidRDefault="002334D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22A74"/>
    <w:multiLevelType w:val="hybridMultilevel"/>
    <w:tmpl w:val="16C867C6"/>
    <w:lvl w:ilvl="0" w:tplc="6B2EEC9A">
      <w:numFmt w:val="bullet"/>
      <w:lvlText w:val="-"/>
      <w:lvlJc w:val="left"/>
      <w:pPr>
        <w:tabs>
          <w:tab w:val="num" w:pos="340"/>
        </w:tabs>
        <w:ind w:left="340" w:hanging="340"/>
      </w:pPr>
      <w:rPr>
        <w:rFonts w:ascii="Arial" w:eastAsia="Times New Roman" w:hAnsi="Arial" w:hint="default"/>
        <w:w w:val="0"/>
      </w:rPr>
    </w:lvl>
    <w:lvl w:ilvl="1" w:tplc="900CE584">
      <w:numFmt w:val="bullet"/>
      <w:lvlText w:val=""/>
      <w:lvlJc w:val="left"/>
      <w:pPr>
        <w:tabs>
          <w:tab w:val="num" w:pos="1420"/>
        </w:tabs>
        <w:ind w:left="1420" w:hanging="340"/>
      </w:pPr>
      <w:rPr>
        <w:rFonts w:ascii="Symbol" w:eastAsia="Times New Roman" w:hAnsi="Symbol" w:hint="default"/>
        <w:color w:val="auto"/>
        <w:w w:val="0"/>
      </w:rPr>
    </w:lvl>
    <w:lvl w:ilvl="2" w:tplc="4070EEF8">
      <w:start w:val="10"/>
      <w:numFmt w:val="bullet"/>
      <w:lvlText w:val="-"/>
      <w:lvlJc w:val="left"/>
      <w:pPr>
        <w:tabs>
          <w:tab w:val="num" w:pos="2160"/>
        </w:tabs>
        <w:ind w:left="2160" w:hanging="360"/>
      </w:pPr>
      <w:rPr>
        <w:rFonts w:ascii="Times New Roman" w:eastAsia="Times New Roman" w:hAnsi="Times New Roman" w:hint="default"/>
      </w:rPr>
    </w:lvl>
    <w:lvl w:ilvl="3" w:tplc="00010409">
      <w:start w:val="1"/>
      <w:numFmt w:val="bullet"/>
      <w:lvlText w:val=""/>
      <w:lvlJc w:val="left"/>
      <w:pPr>
        <w:tabs>
          <w:tab w:val="num" w:pos="2880"/>
        </w:tabs>
        <w:ind w:left="2880" w:hanging="360"/>
      </w:pPr>
      <w:rPr>
        <w:rFonts w:ascii="Symbol" w:hAnsi="Symbol" w:hint="default"/>
        <w:w w:val="0"/>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5820E9"/>
    <w:multiLevelType w:val="hybridMultilevel"/>
    <w:tmpl w:val="43CEAB5E"/>
    <w:lvl w:ilvl="0" w:tplc="3EE84854">
      <w:start w:val="10"/>
      <w:numFmt w:val="bullet"/>
      <w:lvlText w:val="-"/>
      <w:lvlJc w:val="left"/>
      <w:pPr>
        <w:tabs>
          <w:tab w:val="num" w:pos="284"/>
        </w:tabs>
        <w:ind w:left="170" w:hanging="170"/>
      </w:pPr>
      <w:rPr>
        <w:rFonts w:ascii="Times New Roman" w:eastAsia="Times New Roman" w:hAnsi="Times New Roman" w:hint="default"/>
        <w:w w:val="0"/>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F01DDD"/>
    <w:multiLevelType w:val="hybridMultilevel"/>
    <w:tmpl w:val="DCA09B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051132C"/>
    <w:multiLevelType w:val="hybridMultilevel"/>
    <w:tmpl w:val="D3EA6504"/>
    <w:lvl w:ilvl="0" w:tplc="A866F3A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CB49BD"/>
    <w:multiLevelType w:val="hybridMultilevel"/>
    <w:tmpl w:val="1C6CC7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8F67865"/>
    <w:multiLevelType w:val="hybridMultilevel"/>
    <w:tmpl w:val="1BFE32B8"/>
    <w:lvl w:ilvl="0" w:tplc="5AF6E2EC">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00E"/>
    <w:rsid w:val="00013FFA"/>
    <w:rsid w:val="00022563"/>
    <w:rsid w:val="00023CE0"/>
    <w:rsid w:val="00040B6A"/>
    <w:rsid w:val="00051C43"/>
    <w:rsid w:val="00053F25"/>
    <w:rsid w:val="0006753D"/>
    <w:rsid w:val="00073FF8"/>
    <w:rsid w:val="00075FF0"/>
    <w:rsid w:val="0008707B"/>
    <w:rsid w:val="0009198D"/>
    <w:rsid w:val="000A4E2C"/>
    <w:rsid w:val="000C1D4D"/>
    <w:rsid w:val="00104B2A"/>
    <w:rsid w:val="00107BB5"/>
    <w:rsid w:val="001133FD"/>
    <w:rsid w:val="00121D7A"/>
    <w:rsid w:val="00132C5B"/>
    <w:rsid w:val="00140BCD"/>
    <w:rsid w:val="00146FF6"/>
    <w:rsid w:val="001603C7"/>
    <w:rsid w:val="00161FEA"/>
    <w:rsid w:val="00182624"/>
    <w:rsid w:val="0019223A"/>
    <w:rsid w:val="001D08A5"/>
    <w:rsid w:val="001D2817"/>
    <w:rsid w:val="001D3A53"/>
    <w:rsid w:val="001D5401"/>
    <w:rsid w:val="001F08A7"/>
    <w:rsid w:val="001F42E9"/>
    <w:rsid w:val="002246D6"/>
    <w:rsid w:val="002334D7"/>
    <w:rsid w:val="00262F78"/>
    <w:rsid w:val="00270359"/>
    <w:rsid w:val="00276091"/>
    <w:rsid w:val="0028588A"/>
    <w:rsid w:val="00290ACF"/>
    <w:rsid w:val="002A6A1A"/>
    <w:rsid w:val="002C683A"/>
    <w:rsid w:val="002D200C"/>
    <w:rsid w:val="002E33B9"/>
    <w:rsid w:val="002E7FFB"/>
    <w:rsid w:val="00302BD4"/>
    <w:rsid w:val="00310C75"/>
    <w:rsid w:val="00314EFF"/>
    <w:rsid w:val="00325124"/>
    <w:rsid w:val="0033575D"/>
    <w:rsid w:val="003421EC"/>
    <w:rsid w:val="00346AD4"/>
    <w:rsid w:val="0036184F"/>
    <w:rsid w:val="00362B10"/>
    <w:rsid w:val="00384ED9"/>
    <w:rsid w:val="003865F8"/>
    <w:rsid w:val="003A231F"/>
    <w:rsid w:val="003A2926"/>
    <w:rsid w:val="003A6A37"/>
    <w:rsid w:val="003D7528"/>
    <w:rsid w:val="003F2780"/>
    <w:rsid w:val="003F6334"/>
    <w:rsid w:val="004019B8"/>
    <w:rsid w:val="00402C31"/>
    <w:rsid w:val="004046FC"/>
    <w:rsid w:val="00411199"/>
    <w:rsid w:val="00412AF7"/>
    <w:rsid w:val="00433421"/>
    <w:rsid w:val="004336DD"/>
    <w:rsid w:val="0043413A"/>
    <w:rsid w:val="00446423"/>
    <w:rsid w:val="00447F40"/>
    <w:rsid w:val="004555B8"/>
    <w:rsid w:val="00466101"/>
    <w:rsid w:val="004701E5"/>
    <w:rsid w:val="00471764"/>
    <w:rsid w:val="00480617"/>
    <w:rsid w:val="004840F6"/>
    <w:rsid w:val="00485B2C"/>
    <w:rsid w:val="00495514"/>
    <w:rsid w:val="004A26B5"/>
    <w:rsid w:val="004D15C9"/>
    <w:rsid w:val="004D4448"/>
    <w:rsid w:val="004F0259"/>
    <w:rsid w:val="00522558"/>
    <w:rsid w:val="00534425"/>
    <w:rsid w:val="005433E0"/>
    <w:rsid w:val="00561A5B"/>
    <w:rsid w:val="00566BE9"/>
    <w:rsid w:val="005711CD"/>
    <w:rsid w:val="005A3CA4"/>
    <w:rsid w:val="005C0665"/>
    <w:rsid w:val="005D06A7"/>
    <w:rsid w:val="005D10C9"/>
    <w:rsid w:val="005D4C90"/>
    <w:rsid w:val="005D5B9F"/>
    <w:rsid w:val="006125B4"/>
    <w:rsid w:val="00626639"/>
    <w:rsid w:val="00631002"/>
    <w:rsid w:val="00634939"/>
    <w:rsid w:val="006461F9"/>
    <w:rsid w:val="00671AE0"/>
    <w:rsid w:val="00677180"/>
    <w:rsid w:val="0069188A"/>
    <w:rsid w:val="006A62C1"/>
    <w:rsid w:val="006A63DE"/>
    <w:rsid w:val="006F4BE7"/>
    <w:rsid w:val="007055A1"/>
    <w:rsid w:val="007119E8"/>
    <w:rsid w:val="00722FC8"/>
    <w:rsid w:val="00730CFB"/>
    <w:rsid w:val="00742901"/>
    <w:rsid w:val="00767896"/>
    <w:rsid w:val="007A39E5"/>
    <w:rsid w:val="007C6EB2"/>
    <w:rsid w:val="007E16FA"/>
    <w:rsid w:val="007E18CB"/>
    <w:rsid w:val="007E400E"/>
    <w:rsid w:val="00817DE7"/>
    <w:rsid w:val="00834FD0"/>
    <w:rsid w:val="00860F94"/>
    <w:rsid w:val="00871734"/>
    <w:rsid w:val="00885810"/>
    <w:rsid w:val="0088745A"/>
    <w:rsid w:val="008922CA"/>
    <w:rsid w:val="008A4466"/>
    <w:rsid w:val="008A518E"/>
    <w:rsid w:val="008B24C1"/>
    <w:rsid w:val="008E0FD2"/>
    <w:rsid w:val="008F4609"/>
    <w:rsid w:val="009176D4"/>
    <w:rsid w:val="00917D61"/>
    <w:rsid w:val="009324D5"/>
    <w:rsid w:val="00935A3C"/>
    <w:rsid w:val="00952F07"/>
    <w:rsid w:val="00954BBA"/>
    <w:rsid w:val="009561BF"/>
    <w:rsid w:val="00967A3B"/>
    <w:rsid w:val="009775D9"/>
    <w:rsid w:val="00982060"/>
    <w:rsid w:val="00993E3B"/>
    <w:rsid w:val="009A3AC2"/>
    <w:rsid w:val="009A7A9A"/>
    <w:rsid w:val="009C4CAC"/>
    <w:rsid w:val="009D0165"/>
    <w:rsid w:val="00A10A67"/>
    <w:rsid w:val="00A11CB3"/>
    <w:rsid w:val="00A16B2F"/>
    <w:rsid w:val="00A2570B"/>
    <w:rsid w:val="00A43B27"/>
    <w:rsid w:val="00A50D1E"/>
    <w:rsid w:val="00A51BFC"/>
    <w:rsid w:val="00A5704B"/>
    <w:rsid w:val="00A5715F"/>
    <w:rsid w:val="00A743ED"/>
    <w:rsid w:val="00A800D1"/>
    <w:rsid w:val="00A86568"/>
    <w:rsid w:val="00AA2317"/>
    <w:rsid w:val="00AB1C28"/>
    <w:rsid w:val="00AB37CE"/>
    <w:rsid w:val="00AB49A5"/>
    <w:rsid w:val="00AB6EB9"/>
    <w:rsid w:val="00AC1B26"/>
    <w:rsid w:val="00AE215C"/>
    <w:rsid w:val="00AE5940"/>
    <w:rsid w:val="00AF01E2"/>
    <w:rsid w:val="00B02DCA"/>
    <w:rsid w:val="00B12033"/>
    <w:rsid w:val="00B122E7"/>
    <w:rsid w:val="00B122ED"/>
    <w:rsid w:val="00B53F0A"/>
    <w:rsid w:val="00B55E09"/>
    <w:rsid w:val="00B87542"/>
    <w:rsid w:val="00BA56DD"/>
    <w:rsid w:val="00BA6A0F"/>
    <w:rsid w:val="00BB179D"/>
    <w:rsid w:val="00BB6CA9"/>
    <w:rsid w:val="00BE00B0"/>
    <w:rsid w:val="00BE0D31"/>
    <w:rsid w:val="00BE2B77"/>
    <w:rsid w:val="00BE4B9D"/>
    <w:rsid w:val="00BF7DF7"/>
    <w:rsid w:val="00C30CE9"/>
    <w:rsid w:val="00C3362A"/>
    <w:rsid w:val="00C56C84"/>
    <w:rsid w:val="00C65722"/>
    <w:rsid w:val="00C7335F"/>
    <w:rsid w:val="00C858A3"/>
    <w:rsid w:val="00CA42AF"/>
    <w:rsid w:val="00CD5605"/>
    <w:rsid w:val="00CE1D21"/>
    <w:rsid w:val="00CF5A4D"/>
    <w:rsid w:val="00D02F6B"/>
    <w:rsid w:val="00D13821"/>
    <w:rsid w:val="00D20E02"/>
    <w:rsid w:val="00D2297E"/>
    <w:rsid w:val="00D23048"/>
    <w:rsid w:val="00D32D16"/>
    <w:rsid w:val="00D47925"/>
    <w:rsid w:val="00D47F61"/>
    <w:rsid w:val="00D55B9E"/>
    <w:rsid w:val="00D92D37"/>
    <w:rsid w:val="00DA19B1"/>
    <w:rsid w:val="00DA4EDD"/>
    <w:rsid w:val="00DD390C"/>
    <w:rsid w:val="00DE24FA"/>
    <w:rsid w:val="00DE4471"/>
    <w:rsid w:val="00DF6A29"/>
    <w:rsid w:val="00E2483A"/>
    <w:rsid w:val="00E25AD2"/>
    <w:rsid w:val="00E263E5"/>
    <w:rsid w:val="00E27B4B"/>
    <w:rsid w:val="00E6295D"/>
    <w:rsid w:val="00E62C18"/>
    <w:rsid w:val="00E62C80"/>
    <w:rsid w:val="00EA3029"/>
    <w:rsid w:val="00EA576C"/>
    <w:rsid w:val="00EA6EFB"/>
    <w:rsid w:val="00ED3481"/>
    <w:rsid w:val="00F04D5E"/>
    <w:rsid w:val="00F0639D"/>
    <w:rsid w:val="00F077CF"/>
    <w:rsid w:val="00F1051C"/>
    <w:rsid w:val="00F14B08"/>
    <w:rsid w:val="00F26B4F"/>
    <w:rsid w:val="00F42091"/>
    <w:rsid w:val="00F50760"/>
    <w:rsid w:val="00F572C7"/>
    <w:rsid w:val="00F615E3"/>
    <w:rsid w:val="00F61A5B"/>
    <w:rsid w:val="00F7095C"/>
    <w:rsid w:val="00F75390"/>
    <w:rsid w:val="00FB185E"/>
    <w:rsid w:val="00FC7F1C"/>
    <w:rsid w:val="00FD1EA7"/>
    <w:rsid w:val="00FD3684"/>
    <w:rsid w:val="00FE51F1"/>
    <w:rsid w:val="00FF5B7D"/>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4202B520-D423-C847-8DD0-029CCF42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link w:val="VoettekstChar"/>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z-inspring">
    <w:name w:val="evz-inspring"/>
    <w:basedOn w:val="Standaard"/>
    <w:qFormat/>
    <w:rsid w:val="00376E11"/>
    <w:pPr>
      <w:spacing w:line="200" w:lineRule="atLeast"/>
      <w:ind w:left="284" w:hanging="284"/>
    </w:pPr>
    <w:rPr>
      <w:sz w:val="16"/>
    </w:rPr>
  </w:style>
  <w:style w:type="paragraph" w:styleId="Lijstalinea">
    <w:name w:val="List Paragraph"/>
    <w:basedOn w:val="Standaard"/>
    <w:rsid w:val="00480617"/>
    <w:pPr>
      <w:ind w:left="720"/>
      <w:contextualSpacing/>
    </w:pPr>
  </w:style>
  <w:style w:type="paragraph" w:styleId="Ballontekst">
    <w:name w:val="Balloon Text"/>
    <w:basedOn w:val="Standaard"/>
    <w:link w:val="BallontekstChar"/>
    <w:semiHidden/>
    <w:unhideWhenUsed/>
    <w:rsid w:val="0008707B"/>
    <w:pPr>
      <w:spacing w:line="240" w:lineRule="auto"/>
    </w:pPr>
    <w:rPr>
      <w:rFonts w:ascii="Times New Roman" w:hAnsi="Times New Roman"/>
      <w:sz w:val="18"/>
      <w:szCs w:val="18"/>
    </w:rPr>
  </w:style>
  <w:style w:type="character" w:customStyle="1" w:styleId="BallontekstChar">
    <w:name w:val="Ballontekst Char"/>
    <w:basedOn w:val="Standaardalinea-lettertype"/>
    <w:link w:val="Ballontekst"/>
    <w:semiHidden/>
    <w:rsid w:val="0008707B"/>
    <w:rPr>
      <w:color w:val="333333"/>
      <w:sz w:val="18"/>
      <w:szCs w:val="18"/>
      <w:lang w:eastAsia="en-US"/>
    </w:rPr>
  </w:style>
  <w:style w:type="character" w:customStyle="1" w:styleId="VoettekstChar">
    <w:name w:val="Voettekst Char"/>
    <w:basedOn w:val="Standaardalinea-lettertype"/>
    <w:link w:val="Voettekst"/>
    <w:rsid w:val="000C1D4D"/>
    <w:rPr>
      <w:rFonts w:ascii="Arial" w:hAnsi="Arial"/>
      <w:color w:val="333333"/>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AFWERKMAP/afwerkmap-SL/CAOSPORT/%20sjabloon%20CAOSPORT%20referentiefunctie.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sjabloon CAOSPORT referentiefunctie.dotx</Template>
  <TotalTime>41</TotalTime>
  <Pages>1</Pages>
  <Words>371</Words>
  <Characters>2045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RESULTAATPROFIEL</vt:lpstr>
    </vt:vector>
  </TitlesOfParts>
  <Company>EVZ Organisatie-adviseurs</Company>
  <LinksUpToDate>false</LinksUpToDate>
  <CharactersWithSpaces>2412</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 EVZ</dc:creator>
  <cp:keywords/>
  <cp:lastModifiedBy>EVZ EVZ</cp:lastModifiedBy>
  <cp:revision>11</cp:revision>
  <cp:lastPrinted>2018-08-20T12:43:00Z</cp:lastPrinted>
  <dcterms:created xsi:type="dcterms:W3CDTF">2018-08-20T01:48:00Z</dcterms:created>
  <dcterms:modified xsi:type="dcterms:W3CDTF">2019-01-23T15:21:00Z</dcterms:modified>
</cp:coreProperties>
</file>